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A072C6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720635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  <w:bookmarkStart w:id="0" w:name="_GoBack"/>
            <w:bookmarkEnd w:id="0"/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Default="004E37C2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Заместителю директора департамента начальнику отдела сводного планирования и анализа исполнения бюджета</w:t>
            </w:r>
          </w:p>
          <w:p w:rsidR="004E37C2" w:rsidRDefault="004E37C2" w:rsidP="0011144A">
            <w:pPr>
              <w:ind w:left="460"/>
              <w:jc w:val="both"/>
              <w:rPr>
                <w:b/>
                <w:bCs/>
              </w:rPr>
            </w:pPr>
          </w:p>
          <w:p w:rsidR="004E37C2" w:rsidRPr="00083B98" w:rsidRDefault="004E37C2" w:rsidP="0011144A">
            <w:pPr>
              <w:ind w:left="4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Д.В.Батраков</w:t>
            </w:r>
            <w:proofErr w:type="spellEnd"/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24286F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286F">
        <w:rPr>
          <w:b/>
          <w:sz w:val="26"/>
          <w:szCs w:val="26"/>
        </w:rPr>
        <w:t>Правовое заключение</w:t>
      </w:r>
      <w:r w:rsidR="00673739">
        <w:rPr>
          <w:b/>
          <w:sz w:val="26"/>
          <w:szCs w:val="26"/>
        </w:rPr>
        <w:t xml:space="preserve"> от </w:t>
      </w:r>
      <w:r w:rsidR="009765FA">
        <w:rPr>
          <w:b/>
          <w:sz w:val="26"/>
          <w:szCs w:val="26"/>
        </w:rPr>
        <w:t>11</w:t>
      </w:r>
      <w:r w:rsidR="00364C26" w:rsidRPr="0024286F">
        <w:rPr>
          <w:b/>
          <w:sz w:val="26"/>
          <w:szCs w:val="26"/>
        </w:rPr>
        <w:t>.</w:t>
      </w:r>
      <w:r w:rsidR="005F5252">
        <w:rPr>
          <w:b/>
          <w:sz w:val="26"/>
          <w:szCs w:val="26"/>
        </w:rPr>
        <w:t>0</w:t>
      </w:r>
      <w:r w:rsidR="009765FA">
        <w:rPr>
          <w:b/>
          <w:sz w:val="26"/>
          <w:szCs w:val="26"/>
        </w:rPr>
        <w:t>2</w:t>
      </w:r>
      <w:r w:rsidR="00E04418" w:rsidRPr="0024286F">
        <w:rPr>
          <w:b/>
          <w:sz w:val="26"/>
          <w:szCs w:val="26"/>
        </w:rPr>
        <w:t>.201</w:t>
      </w:r>
      <w:r w:rsidR="005F5252">
        <w:rPr>
          <w:b/>
          <w:sz w:val="26"/>
          <w:szCs w:val="26"/>
        </w:rPr>
        <w:t>5</w:t>
      </w:r>
    </w:p>
    <w:p w:rsidR="003C0AC6" w:rsidRPr="0024286F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4CB8" w:rsidRPr="0024286F" w:rsidRDefault="00120648" w:rsidP="00BD4CB8">
      <w:pPr>
        <w:ind w:firstLine="708"/>
        <w:jc w:val="both"/>
        <w:rPr>
          <w:bCs/>
          <w:sz w:val="26"/>
          <w:szCs w:val="26"/>
        </w:rPr>
      </w:pPr>
      <w:r w:rsidRPr="0024286F">
        <w:rPr>
          <w:sz w:val="26"/>
          <w:szCs w:val="26"/>
        </w:rPr>
        <w:t xml:space="preserve"> </w:t>
      </w:r>
      <w:proofErr w:type="gramStart"/>
      <w:r w:rsidR="00BD4CB8" w:rsidRPr="0024286F">
        <w:rPr>
          <w:bCs/>
          <w:sz w:val="26"/>
          <w:szCs w:val="26"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</w:t>
      </w:r>
      <w:r w:rsidR="00BD6F93" w:rsidRPr="0024286F">
        <w:rPr>
          <w:bCs/>
          <w:sz w:val="26"/>
          <w:szCs w:val="26"/>
        </w:rPr>
        <w:t xml:space="preserve"> </w:t>
      </w:r>
      <w:r w:rsidR="00364C26" w:rsidRPr="0024286F">
        <w:rPr>
          <w:bCs/>
          <w:sz w:val="26"/>
          <w:szCs w:val="26"/>
        </w:rPr>
        <w:br/>
      </w:r>
      <w:r w:rsidR="00BD4CB8" w:rsidRPr="0024286F">
        <w:rPr>
          <w:bCs/>
          <w:sz w:val="26"/>
          <w:szCs w:val="26"/>
        </w:rPr>
        <w:t>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BD4CB8" w:rsidRPr="0024286F">
        <w:rPr>
          <w:bCs/>
          <w:sz w:val="26"/>
          <w:szCs w:val="26"/>
        </w:rPr>
        <w:t xml:space="preserve"> </w:t>
      </w:r>
      <w:proofErr w:type="gramStart"/>
      <w:r w:rsidR="00BD4CB8" w:rsidRPr="0024286F">
        <w:rPr>
          <w:bCs/>
          <w:sz w:val="26"/>
          <w:szCs w:val="26"/>
        </w:rPr>
        <w:t>Ульяновской области»  в отделе правовой экспертизы и мониторинга правоприменения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 «</w:t>
      </w:r>
      <w:r w:rsidR="009765FA">
        <w:rPr>
          <w:bCs/>
          <w:sz w:val="26"/>
          <w:szCs w:val="26"/>
        </w:rPr>
        <w:t>Об утверждении Порядка предоставления субсидии за счёт средств областного бюджета Ульяновской области некоммерческим организациям, не являющимся государственными (муниципальными) учреждениями, индивидуальными предпринимателями оказывающим услуги в области социального обслуживания населения на дому</w:t>
      </w:r>
      <w:proofErr w:type="gramEnd"/>
      <w:r w:rsidR="00BD4CB8" w:rsidRPr="0024286F">
        <w:rPr>
          <w:bCs/>
          <w:sz w:val="26"/>
          <w:szCs w:val="26"/>
        </w:rPr>
        <w:t xml:space="preserve">», внесённого </w:t>
      </w:r>
      <w:r w:rsidR="004E37C2">
        <w:rPr>
          <w:bCs/>
          <w:sz w:val="26"/>
          <w:szCs w:val="26"/>
        </w:rPr>
        <w:t>отделом</w:t>
      </w:r>
      <w:r w:rsidR="0011144A" w:rsidRPr="0024286F">
        <w:rPr>
          <w:bCs/>
          <w:sz w:val="26"/>
          <w:szCs w:val="26"/>
        </w:rPr>
        <w:t xml:space="preserve"> </w:t>
      </w:r>
      <w:r w:rsidR="004E37C2">
        <w:rPr>
          <w:bCs/>
          <w:sz w:val="26"/>
          <w:szCs w:val="26"/>
        </w:rPr>
        <w:t xml:space="preserve">сводного планирования и анализа исполнения бюджета </w:t>
      </w:r>
      <w:r w:rsidR="0011144A" w:rsidRPr="0024286F">
        <w:rPr>
          <w:bCs/>
          <w:sz w:val="26"/>
          <w:szCs w:val="26"/>
        </w:rPr>
        <w:t xml:space="preserve">департамента планирования и анализа исполнения бюджета </w:t>
      </w:r>
      <w:r w:rsidR="00BD4CB8" w:rsidRPr="0024286F">
        <w:rPr>
          <w:color w:val="000000"/>
          <w:sz w:val="26"/>
          <w:szCs w:val="26"/>
        </w:rPr>
        <w:t>Министерства здравоохранения и социального развития Ульяновской области</w:t>
      </w:r>
      <w:r w:rsidR="00BD4CB8" w:rsidRPr="0024286F">
        <w:rPr>
          <w:bCs/>
          <w:sz w:val="26"/>
          <w:szCs w:val="26"/>
        </w:rPr>
        <w:t xml:space="preserve">. </w:t>
      </w:r>
    </w:p>
    <w:p w:rsidR="00364C26" w:rsidRPr="0024286F" w:rsidRDefault="00364C26" w:rsidP="00364C26">
      <w:pPr>
        <w:ind w:firstLine="708"/>
        <w:jc w:val="both"/>
        <w:rPr>
          <w:bCs/>
          <w:sz w:val="26"/>
          <w:szCs w:val="26"/>
        </w:rPr>
      </w:pPr>
      <w:r w:rsidRPr="0024286F">
        <w:rPr>
          <w:bCs/>
          <w:sz w:val="26"/>
          <w:szCs w:val="26"/>
        </w:rPr>
        <w:t>Проект постановления подготовлен в пределах полномочий Министерства здравоохранения и  социального развития Ульяновской области, предусмотренных законодательством.</w:t>
      </w:r>
    </w:p>
    <w:p w:rsidR="00364C26" w:rsidRPr="0024286F" w:rsidRDefault="00364C26" w:rsidP="00364C26">
      <w:pPr>
        <w:ind w:firstLine="708"/>
        <w:jc w:val="both"/>
        <w:rPr>
          <w:bCs/>
          <w:sz w:val="26"/>
          <w:szCs w:val="26"/>
        </w:rPr>
      </w:pPr>
      <w:r w:rsidRPr="0024286F">
        <w:rPr>
          <w:bCs/>
          <w:sz w:val="26"/>
          <w:szCs w:val="26"/>
        </w:rPr>
        <w:t>Имеющиеся замечания устранены в рабочем порядке.</w:t>
      </w:r>
    </w:p>
    <w:p w:rsidR="00364C26" w:rsidRPr="0024286F" w:rsidRDefault="00364C26" w:rsidP="00364C26">
      <w:pPr>
        <w:ind w:firstLine="708"/>
        <w:jc w:val="both"/>
        <w:rPr>
          <w:sz w:val="26"/>
          <w:szCs w:val="26"/>
        </w:rPr>
      </w:pPr>
      <w:r w:rsidRPr="0024286F">
        <w:rPr>
          <w:bCs/>
          <w:sz w:val="26"/>
          <w:szCs w:val="26"/>
        </w:rPr>
        <w:t xml:space="preserve"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 </w:t>
      </w:r>
    </w:p>
    <w:p w:rsidR="00BD4CB8" w:rsidRPr="0024286F" w:rsidRDefault="00BD4CB8" w:rsidP="00AB1D04">
      <w:pPr>
        <w:ind w:firstLine="708"/>
        <w:jc w:val="both"/>
        <w:rPr>
          <w:bCs/>
          <w:sz w:val="26"/>
          <w:szCs w:val="26"/>
        </w:rPr>
      </w:pPr>
    </w:p>
    <w:p w:rsidR="0011144A" w:rsidRPr="0024286F" w:rsidRDefault="0011144A" w:rsidP="00AB1D04">
      <w:pPr>
        <w:ind w:firstLine="708"/>
        <w:jc w:val="both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4286F" w:rsidRPr="0024286F" w:rsidTr="001365F2">
        <w:tc>
          <w:tcPr>
            <w:tcW w:w="4503" w:type="dxa"/>
          </w:tcPr>
          <w:p w:rsidR="0024286F" w:rsidRPr="0024286F" w:rsidRDefault="0024286F" w:rsidP="001365F2">
            <w:pPr>
              <w:jc w:val="both"/>
              <w:rPr>
                <w:bCs/>
                <w:sz w:val="26"/>
                <w:szCs w:val="26"/>
              </w:rPr>
            </w:pPr>
            <w:r w:rsidRPr="0024286F">
              <w:rPr>
                <w:b/>
                <w:bCs/>
                <w:sz w:val="26"/>
                <w:szCs w:val="26"/>
              </w:rPr>
              <w:t xml:space="preserve">Директор департамента правового, кадрового обеспечения и делопроизводства                                                       </w:t>
            </w:r>
          </w:p>
        </w:tc>
        <w:tc>
          <w:tcPr>
            <w:tcW w:w="2976" w:type="dxa"/>
          </w:tcPr>
          <w:p w:rsidR="0024286F" w:rsidRPr="0024286F" w:rsidRDefault="0024286F" w:rsidP="001365F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24286F" w:rsidRPr="0024286F" w:rsidRDefault="0024286F" w:rsidP="001365F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24286F" w:rsidRPr="0024286F" w:rsidRDefault="0024286F" w:rsidP="001365F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24286F" w:rsidRPr="0024286F" w:rsidRDefault="0024286F" w:rsidP="001365F2">
            <w:pPr>
              <w:jc w:val="right"/>
              <w:rPr>
                <w:sz w:val="26"/>
                <w:szCs w:val="26"/>
              </w:rPr>
            </w:pPr>
            <w:r w:rsidRPr="0024286F">
              <w:rPr>
                <w:b/>
                <w:bCs/>
                <w:sz w:val="26"/>
                <w:szCs w:val="26"/>
              </w:rPr>
              <w:t>Е.С. Макаров</w:t>
            </w:r>
          </w:p>
          <w:p w:rsidR="0024286F" w:rsidRPr="0024286F" w:rsidRDefault="0024286F" w:rsidP="001365F2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24286F" w:rsidRPr="00AB1D04" w:rsidRDefault="0024286F" w:rsidP="0024286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Словцова А.О. 44 95 75</w:t>
      </w:r>
    </w:p>
    <w:sectPr w:rsidR="0024286F" w:rsidRPr="00AB1D04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46CBB"/>
    <w:rsid w:val="00167A93"/>
    <w:rsid w:val="001959F7"/>
    <w:rsid w:val="001A4151"/>
    <w:rsid w:val="00205A9A"/>
    <w:rsid w:val="0024286F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4E37C2"/>
    <w:rsid w:val="00502C51"/>
    <w:rsid w:val="00517D58"/>
    <w:rsid w:val="00527D29"/>
    <w:rsid w:val="00570E89"/>
    <w:rsid w:val="005815FC"/>
    <w:rsid w:val="005C6228"/>
    <w:rsid w:val="005F5252"/>
    <w:rsid w:val="006050F6"/>
    <w:rsid w:val="00606A00"/>
    <w:rsid w:val="00633413"/>
    <w:rsid w:val="006335EE"/>
    <w:rsid w:val="00662E94"/>
    <w:rsid w:val="00673739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765FA"/>
    <w:rsid w:val="00981E95"/>
    <w:rsid w:val="00984318"/>
    <w:rsid w:val="009C3F9A"/>
    <w:rsid w:val="009E1071"/>
    <w:rsid w:val="009F20A0"/>
    <w:rsid w:val="00A072C6"/>
    <w:rsid w:val="00A10EA0"/>
    <w:rsid w:val="00A12828"/>
    <w:rsid w:val="00A27132"/>
    <w:rsid w:val="00A35719"/>
    <w:rsid w:val="00A374BE"/>
    <w:rsid w:val="00A52926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8040C"/>
    <w:rsid w:val="00CB04B0"/>
    <w:rsid w:val="00CB6D51"/>
    <w:rsid w:val="00CE5206"/>
    <w:rsid w:val="00CF5406"/>
    <w:rsid w:val="00D3157A"/>
    <w:rsid w:val="00D319A6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C1EF7"/>
    <w:rsid w:val="00ED4087"/>
    <w:rsid w:val="00EE53E8"/>
    <w:rsid w:val="00EE6757"/>
    <w:rsid w:val="00F138D8"/>
    <w:rsid w:val="00F14A3A"/>
    <w:rsid w:val="00F169F7"/>
    <w:rsid w:val="00F21F32"/>
    <w:rsid w:val="00F23DDC"/>
    <w:rsid w:val="00F249BC"/>
    <w:rsid w:val="00F27B50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15</cp:revision>
  <cp:lastPrinted>2015-01-12T12:33:00Z</cp:lastPrinted>
  <dcterms:created xsi:type="dcterms:W3CDTF">2014-08-21T10:23:00Z</dcterms:created>
  <dcterms:modified xsi:type="dcterms:W3CDTF">2015-02-12T05:32:00Z</dcterms:modified>
</cp:coreProperties>
</file>